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B8" w:rsidRPr="007228B8" w:rsidRDefault="007228B8" w:rsidP="007228B8">
      <w:pPr>
        <w:contextualSpacing/>
        <w:jc w:val="center"/>
        <w:rPr>
          <w:rFonts w:ascii="Libre Baskerville" w:eastAsia="Times New Roman" w:hAnsi="Libre Baskerville" w:cs="Arial"/>
          <w:b/>
          <w:smallCaps/>
          <w:color w:val="2F5496" w:themeColor="accent5" w:themeShade="BF"/>
          <w:sz w:val="34"/>
          <w:szCs w:val="34"/>
        </w:rPr>
      </w:pPr>
      <w:r w:rsidRPr="00C47C32">
        <w:rPr>
          <w:rFonts w:ascii="Libre Baskerville" w:eastAsia="Times New Roman" w:hAnsi="Libre Baskerville" w:cs="Arial"/>
          <w:b/>
          <w:smallCaps/>
          <w:color w:val="2F5496" w:themeColor="accent5" w:themeShade="BF"/>
          <w:sz w:val="34"/>
          <w:szCs w:val="34"/>
        </w:rPr>
        <w:t>N</w:t>
      </w:r>
      <w:r>
        <w:rPr>
          <w:rFonts w:ascii="Libre Baskerville" w:eastAsia="Times New Roman" w:hAnsi="Libre Baskerville" w:cs="Arial"/>
          <w:b/>
          <w:smallCaps/>
          <w:color w:val="2F5496" w:themeColor="accent5" w:themeShade="BF"/>
          <w:sz w:val="34"/>
          <w:szCs w:val="34"/>
        </w:rPr>
        <w:t>ational Special Districts Coalition</w:t>
      </w:r>
    </w:p>
    <w:p w:rsidR="007228B8" w:rsidRPr="007228B8" w:rsidRDefault="00270858" w:rsidP="007228B8">
      <w:pPr>
        <w:pStyle w:val="Default"/>
        <w:jc w:val="center"/>
        <w:rPr>
          <w:rFonts w:ascii="Calibri" w:eastAsiaTheme="minorHAnsi" w:hAnsi="Calibri" w:cstheme="minorBidi"/>
          <w:b/>
          <w:smallCaps/>
          <w:color w:val="2F5496"/>
          <w:sz w:val="32"/>
          <w:szCs w:val="32"/>
        </w:rPr>
      </w:pPr>
      <w:r w:rsidRPr="007228B8">
        <w:rPr>
          <w:rFonts w:ascii="Calibri" w:eastAsiaTheme="minorHAnsi" w:hAnsi="Calibri" w:cstheme="minorBidi"/>
          <w:b/>
          <w:i/>
          <w:smallCaps/>
          <w:color w:val="2F5496"/>
          <w:sz w:val="32"/>
          <w:szCs w:val="32"/>
        </w:rPr>
        <w:t>Special District Grant Accessibility Act</w:t>
      </w:r>
      <w:r w:rsidR="007228B8">
        <w:rPr>
          <w:rFonts w:ascii="Calibri" w:eastAsiaTheme="minorHAnsi" w:hAnsi="Calibri" w:cstheme="minorBidi"/>
          <w:b/>
          <w:i/>
          <w:smallCaps/>
          <w:color w:val="2F5496"/>
          <w:sz w:val="32"/>
          <w:szCs w:val="32"/>
        </w:rPr>
        <w:t xml:space="preserve"> </w:t>
      </w:r>
      <w:r w:rsidR="007228B8">
        <w:rPr>
          <w:rFonts w:ascii="Calibri" w:eastAsiaTheme="minorHAnsi" w:hAnsi="Calibri" w:cstheme="minorBidi"/>
          <w:b/>
          <w:smallCaps/>
          <w:color w:val="2F5496"/>
          <w:sz w:val="32"/>
          <w:szCs w:val="32"/>
        </w:rPr>
        <w:t xml:space="preserve">– </w:t>
      </w:r>
      <w:r w:rsidR="007228B8" w:rsidRPr="007228B8">
        <w:rPr>
          <w:rFonts w:ascii="Calibri" w:eastAsiaTheme="minorHAnsi" w:hAnsi="Calibri" w:cstheme="minorBidi"/>
          <w:b/>
          <w:smallCaps/>
          <w:color w:val="2F5496"/>
          <w:sz w:val="32"/>
          <w:szCs w:val="32"/>
        </w:rPr>
        <w:t>Talking Points</w:t>
      </w:r>
    </w:p>
    <w:p w:rsidR="00270858" w:rsidRPr="00F82EAA" w:rsidRDefault="00270858" w:rsidP="00270858">
      <w:pPr>
        <w:tabs>
          <w:tab w:val="left" w:pos="5815"/>
        </w:tabs>
        <w:spacing w:after="0" w:line="240" w:lineRule="auto"/>
        <w:jc w:val="both"/>
        <w:rPr>
          <w:rFonts w:ascii="Calibri" w:hAnsi="Calibri"/>
          <w:b/>
          <w:caps/>
          <w:sz w:val="12"/>
          <w:szCs w:val="12"/>
        </w:rPr>
      </w:pPr>
    </w:p>
    <w:p w:rsidR="00C7183F" w:rsidRDefault="00C7183F" w:rsidP="00270858">
      <w:pPr>
        <w:tabs>
          <w:tab w:val="left" w:pos="5815"/>
        </w:tabs>
        <w:spacing w:after="0" w:line="240" w:lineRule="auto"/>
        <w:jc w:val="center"/>
        <w:rPr>
          <w:rFonts w:ascii="Calibri" w:hAnsi="Calibri"/>
          <w:b/>
          <w:caps/>
          <w:sz w:val="24"/>
          <w:szCs w:val="24"/>
        </w:rPr>
      </w:pPr>
    </w:p>
    <w:p w:rsidR="00270858" w:rsidRPr="00C7183F" w:rsidRDefault="00270858" w:rsidP="00C7183F">
      <w:pPr>
        <w:tabs>
          <w:tab w:val="left" w:pos="5815"/>
        </w:tabs>
        <w:spacing w:after="0" w:line="240" w:lineRule="auto"/>
        <w:jc w:val="both"/>
        <w:rPr>
          <w:rFonts w:ascii="Calibri" w:hAnsi="Calibri"/>
          <w:b/>
          <w:caps/>
          <w:sz w:val="24"/>
          <w:szCs w:val="24"/>
          <w:u w:val="single"/>
        </w:rPr>
      </w:pPr>
      <w:r w:rsidRPr="00C7183F">
        <w:rPr>
          <w:rFonts w:ascii="Calibri" w:hAnsi="Calibri"/>
          <w:b/>
          <w:caps/>
          <w:sz w:val="24"/>
          <w:szCs w:val="24"/>
          <w:u w:val="single"/>
        </w:rPr>
        <w:t>Requested ActioN</w:t>
      </w:r>
    </w:p>
    <w:p w:rsidR="00270858" w:rsidRDefault="00270858" w:rsidP="00270858">
      <w:pPr>
        <w:tabs>
          <w:tab w:val="left" w:pos="5815"/>
        </w:tabs>
        <w:spacing w:after="0" w:line="240" w:lineRule="auto"/>
        <w:rPr>
          <w:rFonts w:ascii="Calibri" w:hAnsi="Calibri"/>
          <w:b/>
          <w:caps/>
          <w:sz w:val="24"/>
          <w:szCs w:val="24"/>
        </w:rPr>
      </w:pPr>
    </w:p>
    <w:p w:rsidR="00270858" w:rsidRPr="0041524F" w:rsidRDefault="00C7183F" w:rsidP="00C7183F">
      <w:pPr>
        <w:tabs>
          <w:tab w:val="left" w:pos="5815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Senators:</w:t>
      </w:r>
      <w:r w:rsidR="00270858" w:rsidRPr="0041524F">
        <w:rPr>
          <w:rFonts w:ascii="Calibri" w:hAnsi="Calibri"/>
          <w:i/>
          <w:sz w:val="24"/>
          <w:szCs w:val="24"/>
        </w:rPr>
        <w:t xml:space="preserve"> </w:t>
      </w:r>
      <w:r w:rsidR="00270858">
        <w:rPr>
          <w:rFonts w:ascii="Calibri" w:hAnsi="Calibri"/>
          <w:sz w:val="24"/>
          <w:szCs w:val="24"/>
        </w:rPr>
        <w:t xml:space="preserve">Please </w:t>
      </w:r>
      <w:r w:rsidR="00270858">
        <w:rPr>
          <w:rFonts w:ascii="Calibri" w:hAnsi="Calibri"/>
          <w:sz w:val="24"/>
          <w:szCs w:val="24"/>
          <w:u w:val="single"/>
        </w:rPr>
        <w:t>c</w:t>
      </w:r>
      <w:r w:rsidR="00270858" w:rsidRPr="005E59ED">
        <w:rPr>
          <w:rFonts w:ascii="Calibri" w:hAnsi="Calibri"/>
          <w:sz w:val="24"/>
          <w:szCs w:val="24"/>
          <w:u w:val="single"/>
        </w:rPr>
        <w:t>osponsor</w:t>
      </w:r>
      <w:r w:rsidR="002708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and support </w:t>
      </w:r>
      <w:r w:rsidR="00270858" w:rsidRPr="0041524F">
        <w:rPr>
          <w:rFonts w:ascii="Calibri" w:hAnsi="Calibri"/>
          <w:sz w:val="24"/>
          <w:szCs w:val="24"/>
        </w:rPr>
        <w:t xml:space="preserve">the </w:t>
      </w:r>
      <w:r w:rsidR="00270858" w:rsidRPr="0041524F">
        <w:rPr>
          <w:rFonts w:ascii="Calibri" w:hAnsi="Calibri"/>
          <w:i/>
          <w:sz w:val="24"/>
          <w:szCs w:val="24"/>
        </w:rPr>
        <w:t>Special District Grant Accessibility Act</w:t>
      </w:r>
      <w:r>
        <w:rPr>
          <w:rFonts w:ascii="Calibri" w:hAnsi="Calibri"/>
          <w:sz w:val="24"/>
          <w:szCs w:val="24"/>
        </w:rPr>
        <w:t xml:space="preserve"> (Note: A bill number will be assigned to the legislation upon introduction).</w:t>
      </w:r>
    </w:p>
    <w:p w:rsidR="00270858" w:rsidRPr="0041524F" w:rsidRDefault="00270858" w:rsidP="00270858">
      <w:pPr>
        <w:tabs>
          <w:tab w:val="left" w:pos="5815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70858" w:rsidRPr="00F82EAA" w:rsidRDefault="00270858" w:rsidP="00270858">
      <w:pPr>
        <w:tabs>
          <w:tab w:val="left" w:pos="5815"/>
        </w:tabs>
        <w:spacing w:after="0" w:line="240" w:lineRule="auto"/>
        <w:jc w:val="both"/>
        <w:rPr>
          <w:rFonts w:ascii="Arvo" w:hAnsi="Arvo"/>
          <w:color w:val="808080"/>
          <w:sz w:val="8"/>
          <w:szCs w:val="8"/>
        </w:rPr>
      </w:pPr>
      <w:r w:rsidRPr="00F82EAA">
        <w:rPr>
          <w:rFonts w:ascii="Raleway" w:hAnsi="Raleway"/>
          <w:noProof/>
          <w:color w:val="8080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502665" wp14:editId="1FDDE894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937885" cy="27305"/>
                <wp:effectExtent l="0" t="0" r="571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37885" cy="27305"/>
                        </a:xfrm>
                        <a:prstGeom prst="rect">
                          <a:avLst/>
                        </a:prstGeom>
                        <a:solidFill>
                          <a:srgbClr val="A5A4BA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0DB7" id="Rectangle 2" o:spid="_x0000_s1026" style="position:absolute;margin-left:416.35pt;margin-top:1.8pt;width:467.55pt;height:2.15pt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" o:allowincell="f" fillcolor="#a5a4ba" stroked="f">
                <w10:wrap anchorx="margin"/>
              </v:rect>
            </w:pict>
          </mc:Fallback>
        </mc:AlternateContent>
      </w:r>
      <w:r w:rsidRPr="00F82EAA">
        <w:rPr>
          <w:rFonts w:ascii="Arvo" w:hAnsi="Arvo"/>
          <w:color w:val="808080"/>
          <w:sz w:val="8"/>
          <w:szCs w:val="8"/>
        </w:rPr>
        <w:tab/>
      </w:r>
    </w:p>
    <w:p w:rsidR="00270858" w:rsidRPr="00795648" w:rsidRDefault="00270858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</w:p>
    <w:p w:rsidR="00270858" w:rsidRPr="00C7183F" w:rsidRDefault="00270858" w:rsidP="00C7183F">
      <w:pPr>
        <w:tabs>
          <w:tab w:val="left" w:pos="5815"/>
        </w:tabs>
        <w:spacing w:after="0" w:line="240" w:lineRule="auto"/>
        <w:jc w:val="both"/>
        <w:rPr>
          <w:rFonts w:ascii="Calibri" w:hAnsi="Calibri"/>
          <w:b/>
          <w:caps/>
          <w:sz w:val="24"/>
          <w:szCs w:val="24"/>
          <w:u w:val="single"/>
        </w:rPr>
      </w:pPr>
      <w:r w:rsidRPr="00C7183F">
        <w:rPr>
          <w:rFonts w:ascii="Calibri" w:hAnsi="Calibri"/>
          <w:b/>
          <w:caps/>
          <w:sz w:val="24"/>
          <w:szCs w:val="24"/>
          <w:u w:val="single"/>
        </w:rPr>
        <w:t xml:space="preserve">Background </w:t>
      </w:r>
      <w:r w:rsidR="007228B8">
        <w:rPr>
          <w:rFonts w:ascii="Calibri" w:hAnsi="Calibri"/>
          <w:b/>
          <w:caps/>
          <w:sz w:val="24"/>
          <w:szCs w:val="24"/>
          <w:u w:val="single"/>
        </w:rPr>
        <w:t>&amp;</w:t>
      </w:r>
      <w:r w:rsidRPr="00C7183F">
        <w:rPr>
          <w:rFonts w:ascii="Calibri" w:hAnsi="Calibri"/>
          <w:b/>
          <w:caps/>
          <w:sz w:val="24"/>
          <w:szCs w:val="24"/>
          <w:u w:val="single"/>
        </w:rPr>
        <w:t xml:space="preserve"> Talking Points</w:t>
      </w:r>
    </w:p>
    <w:p w:rsidR="00270858" w:rsidRDefault="00270858" w:rsidP="00270858">
      <w:pPr>
        <w:pStyle w:val="Default"/>
        <w:rPr>
          <w:rFonts w:ascii="Calibri" w:eastAsiaTheme="minorHAnsi" w:hAnsi="Calibri" w:cstheme="minorBidi"/>
          <w:color w:val="auto"/>
        </w:rPr>
      </w:pPr>
    </w:p>
    <w:p w:rsidR="00C7183F" w:rsidRDefault="00270858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  <w:r w:rsidRPr="009A64CE">
        <w:rPr>
          <w:rFonts w:ascii="Calibri" w:eastAsiaTheme="minorHAnsi" w:hAnsi="Calibri" w:cstheme="minorBidi"/>
          <w:color w:val="auto"/>
        </w:rPr>
        <w:t>The</w:t>
      </w:r>
      <w:r>
        <w:rPr>
          <w:rFonts w:ascii="Calibri" w:eastAsiaTheme="minorHAnsi" w:hAnsi="Calibri" w:cstheme="minorBidi"/>
          <w:color w:val="auto"/>
        </w:rPr>
        <w:t xml:space="preserve"> bipartisan</w:t>
      </w:r>
      <w:r w:rsidRPr="009A64CE">
        <w:rPr>
          <w:rFonts w:ascii="Calibri" w:eastAsiaTheme="minorHAnsi" w:hAnsi="Calibri" w:cstheme="minorBidi"/>
          <w:color w:val="auto"/>
        </w:rPr>
        <w:t xml:space="preserve"> </w:t>
      </w:r>
      <w:r w:rsidRPr="00FE6CA3">
        <w:rPr>
          <w:rFonts w:ascii="Calibri" w:eastAsiaTheme="minorHAnsi" w:hAnsi="Calibri" w:cstheme="minorBidi"/>
          <w:b/>
          <w:i/>
          <w:color w:val="auto"/>
        </w:rPr>
        <w:t>Special District Grant Accessibility Act</w:t>
      </w:r>
      <w:r w:rsidRPr="009A64CE">
        <w:rPr>
          <w:rFonts w:ascii="Calibri" w:eastAsiaTheme="minorHAnsi" w:hAnsi="Calibri" w:cstheme="minorBidi"/>
          <w:color w:val="auto"/>
        </w:rPr>
        <w:t xml:space="preserve"> </w:t>
      </w:r>
      <w:r w:rsidR="00C7183F">
        <w:rPr>
          <w:rFonts w:ascii="Calibri" w:eastAsiaTheme="minorHAnsi" w:hAnsi="Calibri" w:cstheme="minorBidi"/>
          <w:color w:val="auto"/>
        </w:rPr>
        <w:t xml:space="preserve">(SDGAA) is slated to be introduced by Senators </w:t>
      </w:r>
      <w:proofErr w:type="spellStart"/>
      <w:r w:rsidR="00C7183F">
        <w:rPr>
          <w:rFonts w:ascii="Calibri" w:eastAsiaTheme="minorHAnsi" w:hAnsi="Calibri" w:cstheme="minorBidi"/>
          <w:color w:val="auto"/>
        </w:rPr>
        <w:t>Kyrsten</w:t>
      </w:r>
      <w:proofErr w:type="spellEnd"/>
      <w:r w:rsidR="00C7183F">
        <w:rPr>
          <w:rFonts w:ascii="Calibri" w:eastAsiaTheme="minorHAnsi" w:hAnsi="Calibri" w:cstheme="minorBidi"/>
          <w:color w:val="auto"/>
        </w:rPr>
        <w:t xml:space="preserve"> </w:t>
      </w:r>
      <w:proofErr w:type="spellStart"/>
      <w:r w:rsidR="00C7183F">
        <w:rPr>
          <w:rFonts w:ascii="Calibri" w:eastAsiaTheme="minorHAnsi" w:hAnsi="Calibri" w:cstheme="minorBidi"/>
          <w:color w:val="auto"/>
        </w:rPr>
        <w:t>Sinema</w:t>
      </w:r>
      <w:proofErr w:type="spellEnd"/>
      <w:r w:rsidR="00C7183F">
        <w:rPr>
          <w:rFonts w:ascii="Calibri" w:eastAsiaTheme="minorHAnsi" w:hAnsi="Calibri" w:cstheme="minorBidi"/>
          <w:color w:val="auto"/>
        </w:rPr>
        <w:t xml:space="preserve"> (I-AZ) and John </w:t>
      </w:r>
      <w:proofErr w:type="spellStart"/>
      <w:r w:rsidR="00C7183F">
        <w:rPr>
          <w:rFonts w:ascii="Calibri" w:eastAsiaTheme="minorHAnsi" w:hAnsi="Calibri" w:cstheme="minorBidi"/>
          <w:color w:val="auto"/>
        </w:rPr>
        <w:t>Cornyn</w:t>
      </w:r>
      <w:proofErr w:type="spellEnd"/>
      <w:r w:rsidR="00C7183F">
        <w:rPr>
          <w:rFonts w:ascii="Calibri" w:eastAsiaTheme="minorHAnsi" w:hAnsi="Calibri" w:cstheme="minorBidi"/>
          <w:color w:val="auto"/>
        </w:rPr>
        <w:t xml:space="preserve"> (R-TX) the week of July 8. The </w:t>
      </w:r>
      <w:r w:rsidR="007228B8">
        <w:rPr>
          <w:rFonts w:ascii="Calibri" w:eastAsiaTheme="minorHAnsi" w:hAnsi="Calibri" w:cstheme="minorBidi"/>
          <w:color w:val="auto"/>
        </w:rPr>
        <w:t>legislation</w:t>
      </w:r>
      <w:r w:rsidR="00C7183F">
        <w:rPr>
          <w:rFonts w:ascii="Calibri" w:eastAsiaTheme="minorHAnsi" w:hAnsi="Calibri" w:cstheme="minorBidi"/>
          <w:color w:val="auto"/>
        </w:rPr>
        <w:t xml:space="preserve"> will be referred to the Senate Homeland Security and Governmental Affairs Committee (HSGAC). Sens. </w:t>
      </w:r>
      <w:proofErr w:type="spellStart"/>
      <w:r w:rsidR="00C7183F">
        <w:rPr>
          <w:rFonts w:ascii="Calibri" w:eastAsiaTheme="minorHAnsi" w:hAnsi="Calibri" w:cstheme="minorBidi"/>
          <w:color w:val="auto"/>
        </w:rPr>
        <w:t>Sinema</w:t>
      </w:r>
      <w:proofErr w:type="spellEnd"/>
      <w:r w:rsidR="00C7183F">
        <w:rPr>
          <w:rFonts w:ascii="Calibri" w:eastAsiaTheme="minorHAnsi" w:hAnsi="Calibri" w:cstheme="minorBidi"/>
          <w:color w:val="auto"/>
        </w:rPr>
        <w:t xml:space="preserve"> and </w:t>
      </w:r>
      <w:proofErr w:type="spellStart"/>
      <w:r w:rsidR="00C7183F">
        <w:rPr>
          <w:rFonts w:ascii="Calibri" w:eastAsiaTheme="minorHAnsi" w:hAnsi="Calibri" w:cstheme="minorBidi"/>
          <w:color w:val="auto"/>
        </w:rPr>
        <w:t>Cornyn</w:t>
      </w:r>
      <w:proofErr w:type="spellEnd"/>
      <w:r w:rsidR="00C7183F">
        <w:rPr>
          <w:rFonts w:ascii="Calibri" w:eastAsiaTheme="minorHAnsi" w:hAnsi="Calibri" w:cstheme="minorBidi"/>
          <w:color w:val="auto"/>
        </w:rPr>
        <w:t xml:space="preserve"> will be working with committee leaders in an effort to schedule the bill for a “markup” session in July or early </w:t>
      </w:r>
      <w:r w:rsidR="007228B8">
        <w:rPr>
          <w:rFonts w:ascii="Calibri" w:eastAsiaTheme="minorHAnsi" w:hAnsi="Calibri" w:cstheme="minorBidi"/>
          <w:color w:val="auto"/>
        </w:rPr>
        <w:t>this</w:t>
      </w:r>
      <w:r w:rsidR="00C7183F">
        <w:rPr>
          <w:rFonts w:ascii="Calibri" w:eastAsiaTheme="minorHAnsi" w:hAnsi="Calibri" w:cstheme="minorBidi"/>
          <w:color w:val="auto"/>
        </w:rPr>
        <w:t xml:space="preserve"> fall. </w:t>
      </w:r>
    </w:p>
    <w:p w:rsidR="00C7183F" w:rsidRDefault="00C7183F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</w:p>
    <w:p w:rsidR="00270858" w:rsidRDefault="00C7183F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  <w:r>
        <w:rPr>
          <w:rFonts w:ascii="Calibri" w:eastAsiaTheme="minorHAnsi" w:hAnsi="Calibri" w:cstheme="minorBidi"/>
          <w:color w:val="auto"/>
        </w:rPr>
        <w:t xml:space="preserve">An identical version of the SDGAA (H.R. 7525) was </w:t>
      </w:r>
      <w:r w:rsidR="00270858">
        <w:rPr>
          <w:rFonts w:ascii="Calibri" w:eastAsiaTheme="minorHAnsi" w:hAnsi="Calibri" w:cstheme="minorBidi"/>
          <w:color w:val="auto"/>
        </w:rPr>
        <w:t>introduced by Representatives Pat Fallon (R-TX</w:t>
      </w:r>
      <w:r w:rsidR="000967CB">
        <w:rPr>
          <w:rFonts w:ascii="Calibri" w:eastAsiaTheme="minorHAnsi" w:hAnsi="Calibri" w:cstheme="minorBidi"/>
          <w:color w:val="auto"/>
        </w:rPr>
        <w:t xml:space="preserve">) and Brittany </w:t>
      </w:r>
      <w:proofErr w:type="spellStart"/>
      <w:r w:rsidR="000967CB">
        <w:rPr>
          <w:rFonts w:ascii="Calibri" w:eastAsiaTheme="minorHAnsi" w:hAnsi="Calibri" w:cstheme="minorBidi"/>
          <w:color w:val="auto"/>
        </w:rPr>
        <w:t>Pettersen</w:t>
      </w:r>
      <w:proofErr w:type="spellEnd"/>
      <w:r w:rsidR="000967CB">
        <w:rPr>
          <w:rFonts w:ascii="Calibri" w:eastAsiaTheme="minorHAnsi" w:hAnsi="Calibri" w:cstheme="minorBidi"/>
          <w:color w:val="auto"/>
        </w:rPr>
        <w:t xml:space="preserve"> (D-CO) </w:t>
      </w:r>
      <w:r w:rsidR="007228B8">
        <w:rPr>
          <w:rFonts w:ascii="Calibri" w:eastAsiaTheme="minorHAnsi" w:hAnsi="Calibri" w:cstheme="minorBidi"/>
          <w:color w:val="auto"/>
        </w:rPr>
        <w:t>in March of</w:t>
      </w:r>
      <w:r w:rsidR="000967CB">
        <w:rPr>
          <w:rFonts w:ascii="Calibri" w:eastAsiaTheme="minorHAnsi" w:hAnsi="Calibri" w:cstheme="minorBidi"/>
          <w:color w:val="auto"/>
        </w:rPr>
        <w:t xml:space="preserve"> this year</w:t>
      </w:r>
      <w:r w:rsidR="00270858">
        <w:rPr>
          <w:rFonts w:ascii="Calibri" w:eastAsiaTheme="minorHAnsi" w:hAnsi="Calibri" w:cstheme="minorBidi"/>
          <w:color w:val="auto"/>
        </w:rPr>
        <w:t xml:space="preserve">. The legislation was approved on March 7 by the House Oversight and Accountability Committee </w:t>
      </w:r>
      <w:r>
        <w:rPr>
          <w:rFonts w:ascii="Calibri" w:eastAsiaTheme="minorHAnsi" w:hAnsi="Calibri" w:cstheme="minorBidi"/>
          <w:color w:val="auto"/>
        </w:rPr>
        <w:t>and was subsequently pass</w:t>
      </w:r>
      <w:r w:rsidR="00116BA4">
        <w:rPr>
          <w:rFonts w:ascii="Calibri" w:eastAsiaTheme="minorHAnsi" w:hAnsi="Calibri" w:cstheme="minorBidi"/>
          <w:color w:val="auto"/>
        </w:rPr>
        <w:t xml:space="preserve">ed by the full House </w:t>
      </w:r>
      <w:r w:rsidR="007228B8">
        <w:rPr>
          <w:rFonts w:ascii="Calibri" w:eastAsiaTheme="minorHAnsi" w:hAnsi="Calibri" w:cstheme="minorBidi"/>
          <w:color w:val="auto"/>
        </w:rPr>
        <w:t>in May</w:t>
      </w:r>
      <w:r w:rsidR="00116BA4">
        <w:rPr>
          <w:rFonts w:ascii="Calibri" w:eastAsiaTheme="minorHAnsi" w:hAnsi="Calibri" w:cstheme="minorBidi"/>
          <w:color w:val="auto"/>
        </w:rPr>
        <w:t xml:space="preserve"> on an overwhelming 352-27 vote.</w:t>
      </w:r>
    </w:p>
    <w:p w:rsidR="00270858" w:rsidRDefault="00270858" w:rsidP="00270858">
      <w:pPr>
        <w:pStyle w:val="Default"/>
        <w:rPr>
          <w:rFonts w:ascii="Calibri" w:eastAsiaTheme="minorHAnsi" w:hAnsi="Calibri" w:cstheme="minorBidi"/>
          <w:color w:val="auto"/>
        </w:rPr>
      </w:pPr>
    </w:p>
    <w:p w:rsidR="00270858" w:rsidRDefault="00116BA4" w:rsidP="00270858">
      <w:pPr>
        <w:pStyle w:val="Default"/>
        <w:rPr>
          <w:rFonts w:ascii="Calibri" w:eastAsiaTheme="minorHAnsi" w:hAnsi="Calibri" w:cstheme="minorBidi"/>
          <w:color w:val="auto"/>
        </w:rPr>
      </w:pPr>
      <w:r>
        <w:rPr>
          <w:rFonts w:ascii="Calibri" w:eastAsiaTheme="minorHAnsi" w:hAnsi="Calibri" w:cstheme="minorBidi"/>
          <w:color w:val="auto"/>
        </w:rPr>
        <w:t>The SDGAA</w:t>
      </w:r>
      <w:r w:rsidR="00270858">
        <w:rPr>
          <w:rFonts w:ascii="Calibri" w:eastAsiaTheme="minorHAnsi" w:hAnsi="Calibri" w:cstheme="minorBidi"/>
          <w:color w:val="auto"/>
        </w:rPr>
        <w:t xml:space="preserve"> </w:t>
      </w:r>
      <w:r w:rsidR="00270858" w:rsidRPr="009A64CE">
        <w:rPr>
          <w:rFonts w:ascii="Calibri" w:eastAsiaTheme="minorHAnsi" w:hAnsi="Calibri" w:cstheme="minorBidi"/>
          <w:color w:val="auto"/>
        </w:rPr>
        <w:t xml:space="preserve">would </w:t>
      </w:r>
      <w:r w:rsidR="00270858">
        <w:rPr>
          <w:rFonts w:ascii="Calibri" w:eastAsiaTheme="minorHAnsi" w:hAnsi="Calibri" w:cstheme="minorBidi"/>
          <w:color w:val="auto"/>
        </w:rPr>
        <w:t>do the following:</w:t>
      </w:r>
    </w:p>
    <w:p w:rsidR="00270858" w:rsidRDefault="00270858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</w:p>
    <w:p w:rsidR="00270858" w:rsidRDefault="00270858" w:rsidP="00270858">
      <w:pPr>
        <w:pStyle w:val="Default"/>
        <w:numPr>
          <w:ilvl w:val="0"/>
          <w:numId w:val="1"/>
        </w:numPr>
        <w:jc w:val="both"/>
        <w:rPr>
          <w:rFonts w:ascii="Calibri" w:eastAsiaTheme="minorHAnsi" w:hAnsi="Calibri" w:cstheme="minorBidi"/>
          <w:color w:val="auto"/>
        </w:rPr>
      </w:pPr>
      <w:r>
        <w:rPr>
          <w:rFonts w:ascii="Calibri" w:eastAsiaTheme="minorHAnsi" w:hAnsi="Calibri" w:cstheme="minorBidi"/>
          <w:color w:val="auto"/>
        </w:rPr>
        <w:t>E</w:t>
      </w:r>
      <w:r w:rsidRPr="009A64CE">
        <w:rPr>
          <w:rFonts w:ascii="Calibri" w:eastAsiaTheme="minorHAnsi" w:hAnsi="Calibri" w:cstheme="minorBidi"/>
          <w:color w:val="auto"/>
        </w:rPr>
        <w:t>stablish a first-ever, formal definition of “special district” in federal law</w:t>
      </w:r>
      <w:r>
        <w:rPr>
          <w:rFonts w:ascii="Calibri" w:eastAsiaTheme="minorHAnsi" w:hAnsi="Calibri" w:cstheme="minorBidi"/>
          <w:color w:val="auto"/>
        </w:rPr>
        <w:t>; and,</w:t>
      </w:r>
    </w:p>
    <w:p w:rsidR="00270858" w:rsidRDefault="00270858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</w:p>
    <w:p w:rsidR="00270858" w:rsidRDefault="00270858" w:rsidP="00270858">
      <w:pPr>
        <w:pStyle w:val="Default"/>
        <w:numPr>
          <w:ilvl w:val="0"/>
          <w:numId w:val="1"/>
        </w:numPr>
        <w:jc w:val="both"/>
        <w:rPr>
          <w:rFonts w:ascii="Calibri" w:eastAsiaTheme="minorHAnsi" w:hAnsi="Calibri" w:cstheme="minorBidi"/>
          <w:color w:val="auto"/>
        </w:rPr>
      </w:pPr>
      <w:r>
        <w:rPr>
          <w:rFonts w:ascii="Calibri" w:eastAsiaTheme="minorHAnsi" w:hAnsi="Calibri" w:cstheme="minorBidi"/>
          <w:color w:val="auto"/>
        </w:rPr>
        <w:t xml:space="preserve">Require </w:t>
      </w:r>
      <w:r w:rsidRPr="009A64CE">
        <w:rPr>
          <w:rFonts w:ascii="Calibri" w:eastAsiaTheme="minorHAnsi" w:hAnsi="Calibri" w:cstheme="minorBidi"/>
          <w:color w:val="auto"/>
        </w:rPr>
        <w:t xml:space="preserve">the </w:t>
      </w:r>
      <w:r>
        <w:rPr>
          <w:rFonts w:ascii="Calibri" w:eastAsiaTheme="minorHAnsi" w:hAnsi="Calibri" w:cstheme="minorBidi"/>
          <w:color w:val="auto"/>
        </w:rPr>
        <w:t xml:space="preserve">White House </w:t>
      </w:r>
      <w:r w:rsidRPr="009A64CE">
        <w:rPr>
          <w:rFonts w:ascii="Calibri" w:eastAsiaTheme="minorHAnsi" w:hAnsi="Calibri" w:cstheme="minorBidi"/>
          <w:color w:val="auto"/>
        </w:rPr>
        <w:t xml:space="preserve">Office of Management and Budget </w:t>
      </w:r>
      <w:r>
        <w:rPr>
          <w:rFonts w:ascii="Calibri" w:eastAsiaTheme="minorHAnsi" w:hAnsi="Calibri" w:cstheme="minorBidi"/>
          <w:color w:val="auto"/>
        </w:rPr>
        <w:t xml:space="preserve">(OMB) </w:t>
      </w:r>
      <w:r w:rsidRPr="009A64CE">
        <w:rPr>
          <w:rFonts w:ascii="Calibri" w:eastAsiaTheme="minorHAnsi" w:hAnsi="Calibri" w:cstheme="minorBidi"/>
          <w:color w:val="auto"/>
        </w:rPr>
        <w:t>to issue guidance to federal agencies requiring special districts to be recognized as local governments for the purpose of federal financial assistance determinations.</w:t>
      </w:r>
    </w:p>
    <w:p w:rsidR="00270858" w:rsidRDefault="00270858" w:rsidP="00270858">
      <w:pPr>
        <w:pStyle w:val="ListParagraph"/>
        <w:rPr>
          <w:rFonts w:cstheme="minorBidi"/>
        </w:rPr>
      </w:pPr>
    </w:p>
    <w:p w:rsidR="000967CB" w:rsidRDefault="00270858" w:rsidP="000967CB">
      <w:pPr>
        <w:pStyle w:val="Default"/>
        <w:numPr>
          <w:ilvl w:val="0"/>
          <w:numId w:val="2"/>
        </w:numPr>
        <w:jc w:val="both"/>
        <w:rPr>
          <w:rFonts w:ascii="Calibri" w:hAnsi="Calibri" w:cs="Times New Roman"/>
        </w:rPr>
      </w:pPr>
      <w:r>
        <w:rPr>
          <w:rFonts w:ascii="Calibri" w:eastAsiaTheme="minorHAnsi" w:hAnsi="Calibri" w:cstheme="minorBidi"/>
          <w:color w:val="auto"/>
        </w:rPr>
        <w:t xml:space="preserve">The impetus for </w:t>
      </w:r>
      <w:r w:rsidR="000967CB">
        <w:rPr>
          <w:rFonts w:ascii="Calibri" w:eastAsiaTheme="minorHAnsi" w:hAnsi="Calibri" w:cstheme="minorBidi"/>
          <w:color w:val="auto"/>
        </w:rPr>
        <w:t>the SDGAA</w:t>
      </w:r>
      <w:r>
        <w:rPr>
          <w:rFonts w:ascii="Calibri" w:eastAsiaTheme="minorHAnsi" w:hAnsi="Calibri" w:cstheme="minorBidi"/>
          <w:color w:val="auto"/>
        </w:rPr>
        <w:t xml:space="preserve"> was the </w:t>
      </w:r>
      <w:r w:rsidR="000967CB">
        <w:rPr>
          <w:rFonts w:ascii="Calibri" w:eastAsiaTheme="minorHAnsi" w:hAnsi="Calibri" w:cstheme="minorBidi"/>
          <w:color w:val="auto"/>
        </w:rPr>
        <w:t>omission</w:t>
      </w:r>
      <w:r>
        <w:rPr>
          <w:rFonts w:ascii="Calibri" w:eastAsiaTheme="minorHAnsi" w:hAnsi="Calibri" w:cstheme="minorBidi"/>
          <w:color w:val="auto"/>
        </w:rPr>
        <w:t xml:space="preserve"> of special districts in pandemic-era legislation that provided direct federal financial assistance to local governments for coronavirus relief </w:t>
      </w:r>
      <w:r w:rsidR="000967CB">
        <w:rPr>
          <w:rFonts w:ascii="Calibri" w:eastAsiaTheme="minorHAnsi" w:hAnsi="Calibri" w:cstheme="minorBidi"/>
          <w:color w:val="auto"/>
        </w:rPr>
        <w:t xml:space="preserve">and response </w:t>
      </w:r>
      <w:r>
        <w:rPr>
          <w:rFonts w:ascii="Calibri" w:eastAsiaTheme="minorHAnsi" w:hAnsi="Calibri" w:cstheme="minorBidi"/>
          <w:color w:val="auto"/>
        </w:rPr>
        <w:t xml:space="preserve">activities (i.e., </w:t>
      </w:r>
      <w:r w:rsidRPr="009A64CE">
        <w:rPr>
          <w:rFonts w:ascii="Calibri" w:eastAsiaTheme="minorHAnsi" w:hAnsi="Calibri" w:cstheme="minorBidi"/>
          <w:i/>
          <w:color w:val="auto"/>
        </w:rPr>
        <w:t>CARES Act</w:t>
      </w:r>
      <w:r>
        <w:rPr>
          <w:rFonts w:ascii="Calibri" w:eastAsiaTheme="minorHAnsi" w:hAnsi="Calibri" w:cstheme="minorBidi"/>
          <w:color w:val="auto"/>
        </w:rPr>
        <w:t xml:space="preserve"> funding and </w:t>
      </w:r>
      <w:r w:rsidRPr="009A64CE">
        <w:rPr>
          <w:rFonts w:ascii="Calibri" w:eastAsiaTheme="minorHAnsi" w:hAnsi="Calibri" w:cstheme="minorBidi"/>
          <w:i/>
          <w:color w:val="auto"/>
        </w:rPr>
        <w:t>American Rescue Plan Act</w:t>
      </w:r>
      <w:r>
        <w:rPr>
          <w:rFonts w:ascii="Calibri" w:eastAsiaTheme="minorHAnsi" w:hAnsi="Calibri" w:cstheme="minorBidi"/>
          <w:color w:val="auto"/>
        </w:rPr>
        <w:t xml:space="preserve"> (ARPA) Fiscal Recovery Fund dollars).</w:t>
      </w:r>
      <w:r w:rsidR="000967CB">
        <w:rPr>
          <w:rFonts w:ascii="Calibri" w:eastAsiaTheme="minorHAnsi" w:hAnsi="Calibri" w:cstheme="minorBidi"/>
          <w:color w:val="auto"/>
        </w:rPr>
        <w:t xml:space="preserve"> </w:t>
      </w:r>
      <w:r w:rsidR="000967CB" w:rsidRPr="000967CB">
        <w:rPr>
          <w:rFonts w:ascii="Calibri" w:hAnsi="Calibri" w:cs="Times New Roman"/>
        </w:rPr>
        <w:t>Unlike other forms of local government, special districts were excluded from receiving direct federal aid despite the fact that many special districts provided essential public services throughout the COVID-19 pandemic, including ambulance/EMS, hospital, and open space services.</w:t>
      </w:r>
    </w:p>
    <w:p w:rsidR="000967CB" w:rsidRDefault="000967CB" w:rsidP="000967CB">
      <w:pPr>
        <w:pStyle w:val="Default"/>
        <w:ind w:left="720"/>
        <w:jc w:val="both"/>
        <w:rPr>
          <w:rFonts w:ascii="Calibri" w:hAnsi="Calibri" w:cs="Times New Roman"/>
        </w:rPr>
      </w:pPr>
    </w:p>
    <w:p w:rsidR="000967CB" w:rsidRDefault="000967CB" w:rsidP="000967CB">
      <w:pPr>
        <w:pStyle w:val="Default"/>
        <w:numPr>
          <w:ilvl w:val="0"/>
          <w:numId w:val="2"/>
        </w:numPr>
        <w:jc w:val="both"/>
        <w:rPr>
          <w:rFonts w:ascii="Calibri" w:hAnsi="Calibri" w:cs="Times New Roman"/>
        </w:rPr>
      </w:pPr>
      <w:r w:rsidRPr="000967CB">
        <w:rPr>
          <w:rFonts w:ascii="Calibri" w:hAnsi="Calibri" w:cs="Times New Roman"/>
        </w:rPr>
        <w:t>Although special districts are eligible for the vast majority of federal funding prog</w:t>
      </w:r>
      <w:r>
        <w:rPr>
          <w:rFonts w:ascii="Calibri" w:hAnsi="Calibri" w:cs="Times New Roman"/>
        </w:rPr>
        <w:t xml:space="preserve">rams, they are ineligible for – or face barriers to accessing – </w:t>
      </w:r>
      <w:r w:rsidRPr="000967CB">
        <w:rPr>
          <w:rFonts w:ascii="Calibri" w:hAnsi="Calibri" w:cs="Times New Roman"/>
        </w:rPr>
        <w:t>certain funding o</w:t>
      </w:r>
      <w:r>
        <w:rPr>
          <w:rFonts w:ascii="Calibri" w:hAnsi="Calibri" w:cs="Times New Roman"/>
        </w:rPr>
        <w:t>pportunities. Examples include:</w:t>
      </w:r>
    </w:p>
    <w:p w:rsidR="000967CB" w:rsidRDefault="000967CB" w:rsidP="000967CB">
      <w:pPr>
        <w:pStyle w:val="ListParagraph"/>
        <w:rPr>
          <w:bdr w:val="none" w:sz="0" w:space="0" w:color="auto" w:frame="1"/>
        </w:rPr>
      </w:pPr>
    </w:p>
    <w:p w:rsidR="000967CB" w:rsidRDefault="000967CB" w:rsidP="000967CB">
      <w:pPr>
        <w:pStyle w:val="Default"/>
        <w:numPr>
          <w:ilvl w:val="1"/>
          <w:numId w:val="2"/>
        </w:numPr>
        <w:jc w:val="both"/>
        <w:rPr>
          <w:rFonts w:ascii="Calibri" w:hAnsi="Calibri" w:cs="Times New Roman"/>
        </w:rPr>
      </w:pPr>
      <w:r w:rsidRPr="000967CB">
        <w:rPr>
          <w:rFonts w:ascii="Calibri" w:hAnsi="Calibri" w:cs="Times New Roman"/>
          <w:bdr w:val="none" w:sz="0" w:space="0" w:color="auto" w:frame="1"/>
        </w:rPr>
        <w:lastRenderedPageBreak/>
        <w:t>EPA</w:t>
      </w:r>
      <w:r>
        <w:rPr>
          <w:rFonts w:ascii="Calibri" w:hAnsi="Calibri" w:cs="Times New Roman"/>
        </w:rPr>
        <w:t>’</w:t>
      </w:r>
      <w:r w:rsidRPr="000967CB">
        <w:rPr>
          <w:rFonts w:ascii="Calibri" w:hAnsi="Calibri" w:cs="Times New Roman"/>
        </w:rPr>
        <w:t>s Clean-</w:t>
      </w:r>
      <w:r w:rsidRPr="000967CB">
        <w:rPr>
          <w:rFonts w:ascii="Calibri" w:hAnsi="Calibri" w:cs="Times New Roman"/>
          <w:bdr w:val="none" w:sz="0" w:space="0" w:color="auto" w:frame="1"/>
        </w:rPr>
        <w:t>Heavy</w:t>
      </w:r>
      <w:r w:rsidRPr="000967CB">
        <w:rPr>
          <w:rFonts w:ascii="Calibri" w:hAnsi="Calibri" w:cs="Times New Roman"/>
        </w:rPr>
        <w:t> Duty Tr</w:t>
      </w:r>
      <w:r>
        <w:rPr>
          <w:rFonts w:ascii="Calibri" w:hAnsi="Calibri" w:cs="Times New Roman"/>
        </w:rPr>
        <w:t>ucks program. S</w:t>
      </w:r>
      <w:r w:rsidRPr="000967CB">
        <w:rPr>
          <w:rFonts w:ascii="Calibri" w:hAnsi="Calibri" w:cs="Times New Roman"/>
        </w:rPr>
        <w:t>pecial districts are not explicitly listed as eligible entities and it remains unclear if they qualify under the prog</w:t>
      </w:r>
      <w:r w:rsidR="007228B8">
        <w:rPr>
          <w:rFonts w:ascii="Calibri" w:hAnsi="Calibri" w:cs="Times New Roman"/>
        </w:rPr>
        <w:t>ram's “municipality”</w:t>
      </w:r>
      <w:r>
        <w:rPr>
          <w:rFonts w:ascii="Calibri" w:hAnsi="Calibri" w:cs="Times New Roman"/>
        </w:rPr>
        <w:t xml:space="preserve"> umbrella;</w:t>
      </w:r>
    </w:p>
    <w:p w:rsidR="000967CB" w:rsidRDefault="000967CB" w:rsidP="000967CB">
      <w:pPr>
        <w:pStyle w:val="Default"/>
        <w:numPr>
          <w:ilvl w:val="1"/>
          <w:numId w:val="2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USDOT’</w:t>
      </w:r>
      <w:r w:rsidRPr="000967CB">
        <w:rPr>
          <w:rFonts w:ascii="Calibri" w:hAnsi="Calibri" w:cs="Times New Roman"/>
        </w:rPr>
        <w:t>s Transportation Altern</w:t>
      </w:r>
      <w:r w:rsidR="007228B8">
        <w:rPr>
          <w:rFonts w:ascii="Calibri" w:hAnsi="Calibri" w:cs="Times New Roman"/>
        </w:rPr>
        <w:t xml:space="preserve">atives/Rails-to-Trails program. </w:t>
      </w:r>
      <w:r>
        <w:rPr>
          <w:rFonts w:ascii="Calibri" w:hAnsi="Calibri" w:cs="Times New Roman"/>
        </w:rPr>
        <w:t>S</w:t>
      </w:r>
      <w:r w:rsidRPr="000967CB">
        <w:rPr>
          <w:rFonts w:ascii="Calibri" w:hAnsi="Calibri" w:cs="Times New Roman"/>
        </w:rPr>
        <w:t>pecial districts (park districts) are not Metropolitan Planning Org</w:t>
      </w:r>
      <w:r>
        <w:rPr>
          <w:rFonts w:ascii="Calibri" w:hAnsi="Calibri" w:cs="Times New Roman"/>
        </w:rPr>
        <w:t>anizations and do not meet DOT’s program eligibility criteria;</w:t>
      </w:r>
    </w:p>
    <w:p w:rsidR="000967CB" w:rsidRDefault="000967CB" w:rsidP="000967CB">
      <w:pPr>
        <w:pStyle w:val="Default"/>
        <w:numPr>
          <w:ilvl w:val="1"/>
          <w:numId w:val="2"/>
        </w:numPr>
        <w:jc w:val="both"/>
        <w:rPr>
          <w:rFonts w:ascii="Calibri" w:hAnsi="Calibri" w:cs="Times New Roman"/>
        </w:rPr>
      </w:pPr>
      <w:r w:rsidRPr="000967CB">
        <w:rPr>
          <w:rFonts w:ascii="Calibri" w:hAnsi="Calibri" w:cs="Times New Roman"/>
        </w:rPr>
        <w:t>the Public Se</w:t>
      </w:r>
      <w:r>
        <w:rPr>
          <w:rFonts w:ascii="Calibri" w:hAnsi="Calibri" w:cs="Times New Roman"/>
        </w:rPr>
        <w:t>rvice Loan Forgiveness Program. E</w:t>
      </w:r>
      <w:r w:rsidRPr="000967CB">
        <w:rPr>
          <w:rFonts w:ascii="Calibri" w:hAnsi="Calibri" w:cs="Times New Roman"/>
        </w:rPr>
        <w:t>mployees of certain special districts have been unable to access program benefits, which are intended for individuals wh</w:t>
      </w:r>
      <w:r>
        <w:rPr>
          <w:rFonts w:ascii="Calibri" w:hAnsi="Calibri" w:cs="Times New Roman"/>
        </w:rPr>
        <w:t>o work for government agencies.</w:t>
      </w:r>
    </w:p>
    <w:p w:rsidR="000967CB" w:rsidRDefault="000967CB" w:rsidP="000967CB">
      <w:pPr>
        <w:pStyle w:val="Default"/>
        <w:jc w:val="both"/>
        <w:rPr>
          <w:rFonts w:ascii="Calibri" w:hAnsi="Calibri" w:cs="Times New Roman"/>
        </w:rPr>
      </w:pPr>
    </w:p>
    <w:p w:rsidR="00270858" w:rsidRPr="006B7E2D" w:rsidRDefault="000967CB" w:rsidP="006B7E2D">
      <w:pPr>
        <w:pStyle w:val="Default"/>
        <w:numPr>
          <w:ilvl w:val="0"/>
          <w:numId w:val="4"/>
        </w:numPr>
        <w:jc w:val="both"/>
        <w:rPr>
          <w:rFonts w:ascii="Calibri" w:eastAsiaTheme="minorHAnsi" w:hAnsi="Calibri" w:cstheme="minorBidi"/>
          <w:color w:val="auto"/>
        </w:rPr>
      </w:pPr>
      <w:r w:rsidRPr="000967CB">
        <w:rPr>
          <w:rFonts w:ascii="Calibri" w:hAnsi="Calibri" w:cs="Times New Roman"/>
        </w:rPr>
        <w:t xml:space="preserve">Additionally, because the U.S. Census Bureau does not recognize special districts as geographic units of local government, special districts lack official population-based figures. </w:t>
      </w:r>
      <w:r w:rsidR="007228B8">
        <w:rPr>
          <w:rFonts w:ascii="Calibri" w:hAnsi="Calibri" w:cs="Times New Roman"/>
        </w:rPr>
        <w:t>Aa a result</w:t>
      </w:r>
      <w:r w:rsidRPr="000967CB">
        <w:rPr>
          <w:rFonts w:ascii="Calibri" w:hAnsi="Calibri" w:cs="Times New Roman"/>
        </w:rPr>
        <w:t xml:space="preserve">, special districts are unable to access </w:t>
      </w:r>
      <w:r>
        <w:rPr>
          <w:rFonts w:ascii="Calibri" w:hAnsi="Calibri" w:cs="Times New Roman"/>
        </w:rPr>
        <w:t>certain</w:t>
      </w:r>
      <w:r w:rsidR="006B7E2D">
        <w:rPr>
          <w:rFonts w:ascii="Calibri" w:eastAsiaTheme="minorHAnsi" w:hAnsi="Calibri" w:cstheme="minorBidi"/>
          <w:color w:val="auto"/>
        </w:rPr>
        <w:t xml:space="preserve"> </w:t>
      </w:r>
      <w:r w:rsidR="00270858" w:rsidRPr="006B7E2D">
        <w:rPr>
          <w:rFonts w:ascii="Calibri" w:eastAsiaTheme="minorHAnsi" w:hAnsi="Calibri" w:cstheme="minorBidi"/>
          <w:color w:val="auto"/>
        </w:rPr>
        <w:t>formula-driven programs.</w:t>
      </w:r>
    </w:p>
    <w:p w:rsidR="00270858" w:rsidRDefault="00270858" w:rsidP="00270858">
      <w:pPr>
        <w:pStyle w:val="Default"/>
        <w:jc w:val="both"/>
        <w:rPr>
          <w:rFonts w:ascii="Calibri" w:eastAsiaTheme="minorHAnsi" w:hAnsi="Calibri" w:cstheme="minorBidi"/>
          <w:color w:val="auto"/>
        </w:rPr>
      </w:pPr>
    </w:p>
    <w:p w:rsidR="00270858" w:rsidRPr="007C6AD9" w:rsidRDefault="00270858" w:rsidP="00270858">
      <w:pPr>
        <w:pStyle w:val="Default"/>
        <w:numPr>
          <w:ilvl w:val="0"/>
          <w:numId w:val="3"/>
        </w:numPr>
        <w:jc w:val="both"/>
        <w:rPr>
          <w:rFonts w:ascii="Calibri" w:eastAsiaTheme="minorHAnsi" w:hAnsi="Calibri" w:cstheme="minorBidi"/>
          <w:color w:val="auto"/>
        </w:rPr>
      </w:pPr>
      <w:r w:rsidRPr="00FE6CA3">
        <w:rPr>
          <w:rFonts w:ascii="Calibri" w:eastAsiaTheme="minorHAnsi" w:hAnsi="Calibri" w:cstheme="minorBidi"/>
          <w:color w:val="auto"/>
        </w:rPr>
        <w:t xml:space="preserve">A </w:t>
      </w:r>
      <w:r>
        <w:rPr>
          <w:rFonts w:ascii="Calibri" w:eastAsiaTheme="minorHAnsi" w:hAnsi="Calibri" w:cstheme="minorBidi"/>
          <w:color w:val="auto"/>
        </w:rPr>
        <w:t>formal</w:t>
      </w:r>
      <w:r w:rsidRPr="00FE6CA3">
        <w:rPr>
          <w:rFonts w:ascii="Calibri" w:eastAsiaTheme="minorHAnsi" w:hAnsi="Calibri" w:cstheme="minorBidi"/>
          <w:color w:val="auto"/>
        </w:rPr>
        <w:t xml:space="preserve"> definition </w:t>
      </w:r>
      <w:r>
        <w:rPr>
          <w:rFonts w:ascii="Calibri" w:eastAsiaTheme="minorHAnsi" w:hAnsi="Calibri" w:cstheme="minorBidi"/>
          <w:color w:val="auto"/>
        </w:rPr>
        <w:t>of</w:t>
      </w:r>
      <w:r w:rsidRPr="00FE6CA3">
        <w:rPr>
          <w:rFonts w:ascii="Calibri" w:eastAsiaTheme="minorHAnsi" w:hAnsi="Calibri" w:cstheme="minorBidi"/>
          <w:color w:val="auto"/>
        </w:rPr>
        <w:t xml:space="preserve"> “special district” would foster consistency and enhance special districts’ </w:t>
      </w:r>
      <w:r>
        <w:rPr>
          <w:rFonts w:ascii="Calibri" w:eastAsiaTheme="minorHAnsi" w:hAnsi="Calibri" w:cstheme="minorBidi"/>
          <w:color w:val="auto"/>
        </w:rPr>
        <w:t>access to f</w:t>
      </w:r>
      <w:bookmarkStart w:id="0" w:name="_GoBack"/>
      <w:bookmarkEnd w:id="0"/>
      <w:r>
        <w:rPr>
          <w:rFonts w:ascii="Calibri" w:eastAsiaTheme="minorHAnsi" w:hAnsi="Calibri" w:cstheme="minorBidi"/>
          <w:color w:val="auto"/>
        </w:rPr>
        <w:t xml:space="preserve">ederal programs, including programs that provide resources for the </w:t>
      </w:r>
      <w:r w:rsidRPr="005E59ED">
        <w:rPr>
          <w:rFonts w:ascii="Calibri" w:eastAsiaTheme="minorHAnsi" w:hAnsi="Calibri" w:cstheme="minorBidi"/>
          <w:color w:val="auto"/>
        </w:rPr>
        <w:t>construct</w:t>
      </w:r>
      <w:r>
        <w:rPr>
          <w:rFonts w:ascii="Calibri" w:eastAsiaTheme="minorHAnsi" w:hAnsi="Calibri" w:cstheme="minorBidi"/>
          <w:color w:val="auto"/>
        </w:rPr>
        <w:t>ion</w:t>
      </w:r>
      <w:r w:rsidRPr="005E59ED">
        <w:rPr>
          <w:rFonts w:ascii="Calibri" w:eastAsiaTheme="minorHAnsi" w:hAnsi="Calibri" w:cstheme="minorBidi"/>
          <w:color w:val="auto"/>
        </w:rPr>
        <w:t xml:space="preserve"> </w:t>
      </w:r>
      <w:r>
        <w:rPr>
          <w:rFonts w:ascii="Calibri" w:eastAsiaTheme="minorHAnsi" w:hAnsi="Calibri" w:cstheme="minorBidi"/>
          <w:color w:val="auto"/>
        </w:rPr>
        <w:t>and protection of</w:t>
      </w:r>
      <w:r w:rsidRPr="005E59ED">
        <w:rPr>
          <w:rFonts w:ascii="Calibri" w:eastAsiaTheme="minorHAnsi" w:hAnsi="Calibri" w:cstheme="minorBidi"/>
          <w:color w:val="auto"/>
        </w:rPr>
        <w:t xml:space="preserve"> critical infrastructure.</w:t>
      </w:r>
    </w:p>
    <w:p w:rsidR="00632290" w:rsidRDefault="007228B8"/>
    <w:sectPr w:rsidR="0063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Raleway">
    <w:altName w:val="Corbel"/>
    <w:charset w:val="00"/>
    <w:family w:val="swiss"/>
    <w:pitch w:val="variable"/>
    <w:sig w:usb0="A00002FF" w:usb1="5000205B" w:usb2="00000000" w:usb3="00000000" w:csb0="00000097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595"/>
    <w:multiLevelType w:val="hybridMultilevel"/>
    <w:tmpl w:val="D42C3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4A6"/>
    <w:multiLevelType w:val="hybridMultilevel"/>
    <w:tmpl w:val="3EBE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224C8"/>
    <w:multiLevelType w:val="hybridMultilevel"/>
    <w:tmpl w:val="9BF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3318C"/>
    <w:multiLevelType w:val="hybridMultilevel"/>
    <w:tmpl w:val="28AC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58"/>
    <w:rsid w:val="000967CB"/>
    <w:rsid w:val="00116BA4"/>
    <w:rsid w:val="00270858"/>
    <w:rsid w:val="006B7E2D"/>
    <w:rsid w:val="007228B8"/>
    <w:rsid w:val="009C10D5"/>
    <w:rsid w:val="00C7183F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2C1E"/>
  <w15:chartTrackingRefBased/>
  <w15:docId w15:val="{A6CFD81F-C42A-4DDF-A33F-088EDC6F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58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2708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t1ytl30ws">
    <w:name w:val="markt1ytl30ws"/>
    <w:basedOn w:val="DefaultParagraphFont"/>
    <w:rsid w:val="000967CB"/>
  </w:style>
  <w:style w:type="character" w:customStyle="1" w:styleId="mark21x02ihz9">
    <w:name w:val="mark21x02ihz9"/>
    <w:basedOn w:val="DefaultParagraphFont"/>
    <w:rsid w:val="0009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Joe Krahn</cp:lastModifiedBy>
  <cp:revision>6</cp:revision>
  <dcterms:created xsi:type="dcterms:W3CDTF">2024-07-01T16:39:00Z</dcterms:created>
  <dcterms:modified xsi:type="dcterms:W3CDTF">2024-07-01T17:36:00Z</dcterms:modified>
</cp:coreProperties>
</file>